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37C09">
      <w:pPr>
        <w:snapToGrid w:val="0"/>
        <w:spacing w:line="800" w:lineRule="exact"/>
        <w:ind w:right="119"/>
        <w:jc w:val="center"/>
        <w:rPr>
          <w:rFonts w:ascii="微软雅黑" w:hAnsi="微软雅黑" w:eastAsia="微软雅黑" w:cs="微软雅黑"/>
          <w:b/>
          <w:color w:val="FF0000"/>
          <w:w w:val="90"/>
          <w:kern w:val="10"/>
          <w:sz w:val="72"/>
          <w:szCs w:val="72"/>
        </w:rPr>
      </w:pPr>
      <w:r>
        <w:rPr>
          <w:rFonts w:hint="eastAsia" w:ascii="微软雅黑" w:hAnsi="微软雅黑" w:eastAsia="微软雅黑" w:cs="微软雅黑"/>
          <w:b/>
          <w:color w:val="FF0000"/>
          <w:w w:val="90"/>
          <w:kern w:val="10"/>
          <w:sz w:val="72"/>
          <w:szCs w:val="72"/>
        </w:rPr>
        <w:t>反腐倡廉每季</w:t>
      </w:r>
      <w:r>
        <w:rPr>
          <w:rFonts w:hint="eastAsia" w:ascii="微软雅黑" w:hAnsi="微软雅黑" w:eastAsia="微软雅黑" w:cs="微软雅黑"/>
          <w:b/>
          <w:color w:val="FF0000"/>
          <w:w w:val="90"/>
          <w:kern w:val="10"/>
          <w:sz w:val="72"/>
          <w:szCs w:val="72"/>
          <w:lang w:eastAsia="zh-CN"/>
        </w:rPr>
        <w:t>要学</w:t>
      </w:r>
      <w:r>
        <w:rPr>
          <w:rFonts w:hint="eastAsia" w:ascii="微软雅黑" w:hAnsi="微软雅黑" w:eastAsia="微软雅黑" w:cs="微软雅黑"/>
          <w:b/>
          <w:color w:val="FF0000"/>
          <w:w w:val="90"/>
          <w:kern w:val="10"/>
          <w:sz w:val="72"/>
          <w:szCs w:val="72"/>
        </w:rPr>
        <w:t>学习材料</w:t>
      </w:r>
    </w:p>
    <w:p w14:paraId="7AC6742A">
      <w:pPr>
        <w:spacing w:line="420" w:lineRule="exact"/>
        <w:ind w:right="119" w:firstLine="482"/>
        <w:rPr>
          <w:rFonts w:ascii="楷体_GB2312" w:hAnsi="华文中宋" w:eastAsia="楷体_GB2312" w:cs="Times New Roman"/>
          <w:b/>
          <w:color w:val="000000"/>
        </w:rPr>
      </w:pPr>
      <w:r>
        <w:rPr>
          <w:rFonts w:hint="eastAsia" w:ascii="楷体_GB2312" w:hAnsi="华文中宋" w:eastAsia="楷体_GB2312" w:cs="Times New Roman"/>
          <w:b/>
          <w:color w:val="000000"/>
        </w:rPr>
        <w:t xml:space="preserve"> </w:t>
      </w:r>
    </w:p>
    <w:p w14:paraId="27255259">
      <w:pPr>
        <w:spacing w:line="420" w:lineRule="exact"/>
        <w:ind w:right="119" w:firstLine="211" w:firstLineChars="100"/>
        <w:rPr>
          <w:rFonts w:hint="default" w:ascii="Times New Roman" w:hAnsi="Times New Roman" w:eastAsia="楷体_GB2312" w:cs="Times New Roman"/>
          <w:b/>
          <w:color w:val="000000"/>
        </w:rPr>
      </w:pPr>
      <w:r>
        <w:rPr>
          <w:rFonts w:hint="default" w:ascii="Times New Roman" w:hAnsi="Times New Roman" w:eastAsia="楷体_GB2312" w:cs="Times New Roman"/>
          <w:b/>
          <w:color w:val="000000"/>
        </w:rPr>
        <w:t xml:space="preserve">南京航空航天大学纪委办编 </w:t>
      </w:r>
      <w:r>
        <w:rPr>
          <w:rFonts w:hint="default" w:ascii="Times New Roman" w:hAnsi="Times New Roman" w:eastAsia="楷体_GB2312" w:cs="Times New Roman"/>
          <w:b/>
          <w:color w:val="000000"/>
          <w:lang w:val="en-US" w:eastAsia="zh-CN"/>
        </w:rPr>
        <w:t xml:space="preserve">      </w:t>
      </w:r>
      <w:r>
        <w:rPr>
          <w:rFonts w:hint="default" w:ascii="Times New Roman" w:hAnsi="Times New Roman" w:eastAsia="楷体_GB2312" w:cs="Times New Roman"/>
          <w:b/>
          <w:color w:val="000000"/>
        </w:rPr>
        <w:t>202</w:t>
      </w:r>
      <w:r>
        <w:rPr>
          <w:rFonts w:hint="eastAsia" w:ascii="Times New Roman" w:hAnsi="Times New Roman" w:eastAsia="楷体_GB2312" w:cs="Times New Roman"/>
          <w:b/>
          <w:color w:val="000000"/>
          <w:lang w:val="en-US" w:eastAsia="zh-CN"/>
        </w:rPr>
        <w:t>5</w:t>
      </w:r>
      <w:r>
        <w:rPr>
          <w:rFonts w:hint="default" w:ascii="Times New Roman" w:hAnsi="Times New Roman" w:eastAsia="楷体_GB2312" w:cs="Times New Roman"/>
          <w:b/>
          <w:color w:val="000000"/>
        </w:rPr>
        <w:t>第（</w:t>
      </w:r>
      <w:r>
        <w:rPr>
          <w:rFonts w:hint="eastAsia" w:ascii="Times New Roman" w:hAnsi="Times New Roman" w:eastAsia="楷体_GB2312" w:cs="Times New Roman"/>
          <w:b/>
          <w:color w:val="000000"/>
          <w:lang w:val="en-US" w:eastAsia="zh-CN"/>
        </w:rPr>
        <w:t>2</w:t>
      </w:r>
      <w:r>
        <w:rPr>
          <w:rFonts w:hint="default" w:ascii="Times New Roman" w:hAnsi="Times New Roman" w:eastAsia="楷体_GB2312" w:cs="Times New Roman"/>
          <w:b/>
          <w:color w:val="000000"/>
        </w:rPr>
        <w:t xml:space="preserve">）期 </w:t>
      </w:r>
      <w:r>
        <w:rPr>
          <w:rFonts w:hint="default" w:ascii="Times New Roman" w:hAnsi="Times New Roman" w:eastAsia="楷体_GB2312" w:cs="Times New Roman"/>
          <w:b/>
          <w:color w:val="000000"/>
          <w:lang w:val="en-US" w:eastAsia="zh-CN"/>
        </w:rPr>
        <w:t xml:space="preserve">              </w:t>
      </w:r>
      <w:r>
        <w:rPr>
          <w:rFonts w:hint="default" w:ascii="Times New Roman" w:hAnsi="Times New Roman" w:eastAsia="楷体_GB2312" w:cs="Times New Roman"/>
          <w:b/>
          <w:color w:val="000000"/>
        </w:rPr>
        <w:t>202</w:t>
      </w:r>
      <w:r>
        <w:rPr>
          <w:rFonts w:hint="eastAsia" w:ascii="Times New Roman" w:hAnsi="Times New Roman" w:eastAsia="楷体_GB2312" w:cs="Times New Roman"/>
          <w:b/>
          <w:color w:val="000000"/>
          <w:lang w:val="en-US" w:eastAsia="zh-CN"/>
        </w:rPr>
        <w:t>5</w:t>
      </w:r>
      <w:r>
        <w:rPr>
          <w:rFonts w:hint="default" w:ascii="Times New Roman" w:hAnsi="Times New Roman" w:eastAsia="楷体_GB2312" w:cs="Times New Roman"/>
          <w:b/>
          <w:color w:val="000000"/>
        </w:rPr>
        <w:t>年</w:t>
      </w:r>
      <w:r>
        <w:rPr>
          <w:rFonts w:hint="eastAsia" w:ascii="Times New Roman" w:hAnsi="Times New Roman" w:eastAsia="楷体_GB2312" w:cs="Times New Roman"/>
          <w:b/>
          <w:color w:val="000000"/>
          <w:lang w:val="en-US" w:eastAsia="zh-CN"/>
        </w:rPr>
        <w:t>5</w:t>
      </w:r>
      <w:r>
        <w:rPr>
          <w:rFonts w:hint="default" w:ascii="Times New Roman" w:hAnsi="Times New Roman" w:eastAsia="楷体_GB2312" w:cs="Times New Roman"/>
          <w:b/>
          <w:color w:val="000000"/>
        </w:rPr>
        <w:t>月</w:t>
      </w:r>
      <w:r>
        <w:rPr>
          <w:rFonts w:hint="eastAsia" w:ascii="Times New Roman" w:hAnsi="Times New Roman" w:eastAsia="楷体_GB2312" w:cs="Times New Roman"/>
          <w:b/>
          <w:color w:val="000000"/>
          <w:lang w:val="en-US" w:eastAsia="zh-CN"/>
        </w:rPr>
        <w:t>6</w:t>
      </w:r>
      <w:r>
        <w:rPr>
          <w:rFonts w:hint="default" w:ascii="Times New Roman" w:hAnsi="Times New Roman" w:eastAsia="楷体_GB2312" w:cs="Times New Roman"/>
          <w:b/>
          <w:color w:val="000000"/>
        </w:rPr>
        <w:t>日</w:t>
      </w:r>
    </w:p>
    <w:p w14:paraId="4D0F0C9C">
      <w:pPr>
        <w:spacing w:line="420" w:lineRule="exact"/>
        <w:ind w:right="119" w:firstLine="560"/>
        <w:rPr>
          <w:rFonts w:hint="eastAsia" w:ascii="黑体" w:hAnsi="华文中宋" w:eastAsia="黑体" w:cs="Times New Roman"/>
          <w:b/>
          <w:color w:val="000000"/>
          <w:sz w:val="44"/>
          <w:szCs w:val="44"/>
        </w:rPr>
      </w:pPr>
      <w:r>
        <w:rPr>
          <w:rFonts w:eastAsia="仿宋" w:cs="Times New Roman"/>
          <w:sz w:val="28"/>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15875</wp:posOffset>
                </wp:positionV>
                <wp:extent cx="5392420" cy="12700"/>
                <wp:effectExtent l="0" t="19050" r="55880" b="444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5392420" cy="12700"/>
                        </a:xfrm>
                        <a:prstGeom prst="line">
                          <a:avLst/>
                        </a:prstGeom>
                        <a:noFill/>
                        <a:ln w="57150" cmpd="thinThick">
                          <a:solidFill>
                            <a:srgbClr val="000000"/>
                          </a:solidFill>
                          <a:round/>
                        </a:ln>
                      </wps:spPr>
                      <wps:bodyPr/>
                    </wps:wsp>
                  </a:graphicData>
                </a:graphic>
              </wp:anchor>
            </w:drawing>
          </mc:Choice>
          <mc:Fallback>
            <w:pict>
              <v:line id="_x0000_s1026" o:spid="_x0000_s1026" o:spt="20" style="position:absolute;left:0pt;flip:y;margin-left:-0.25pt;margin-top:1.25pt;height:1pt;width:424.6pt;z-index:251659264;mso-width-relative:page;mso-height-relative:page;" filled="f" stroked="t" coordsize="21600,21600" o:gfxdata="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yAZlXTAAAABQEAAA8AAAAAAAAAAQAgAAAAIgAAAGRycy9kb3ducmV2LnhtbFBL&#10;AQIUABQAAAAIAIdO4kDGpT1/+wEAAMoDAAAOAAAAAAAAAAEAIAAAACIBAABkcnMvZTJvRG9jLnht&#10;bFBLBQYAAAAABgAGAFkBAACPBQAAAAA=&#10;">
                <v:fill on="f" focussize="0,0"/>
                <v:stroke weight="4.5pt" color="#000000" linestyle="thinThick" joinstyle="round"/>
                <v:imagedata o:title=""/>
                <o:lock v:ext="edit" aspectratio="f"/>
              </v:line>
            </w:pict>
          </mc:Fallback>
        </mc:AlternateContent>
      </w:r>
    </w:p>
    <w:p w14:paraId="7A3DEC49">
      <w:pPr>
        <w:widowControl/>
        <w:jc w:val="center"/>
        <w:rPr>
          <w:rFonts w:hint="eastAsia" w:ascii="黑体" w:hAnsi="黑体" w:eastAsia="黑体"/>
          <w:b/>
          <w:bCs/>
          <w:color w:val="333333"/>
          <w:sz w:val="32"/>
          <w:szCs w:val="32"/>
        </w:rPr>
      </w:pPr>
      <w:r>
        <w:rPr>
          <w:rFonts w:hint="eastAsia" w:ascii="黑体" w:hAnsi="黑体" w:eastAsia="黑体"/>
          <w:b/>
          <w:bCs/>
          <w:color w:val="333333"/>
          <w:sz w:val="32"/>
          <w:szCs w:val="32"/>
        </w:rPr>
        <w:t>目</w:t>
      </w:r>
      <w:r>
        <w:rPr>
          <w:rFonts w:ascii="黑体" w:hAnsi="黑体" w:eastAsia="黑体"/>
          <w:b/>
          <w:bCs/>
          <w:color w:val="333333"/>
          <w:sz w:val="32"/>
          <w:szCs w:val="32"/>
        </w:rPr>
        <w:t xml:space="preserve"> </w:t>
      </w:r>
      <w:r>
        <w:rPr>
          <w:rFonts w:hint="eastAsia" w:ascii="黑体" w:hAnsi="黑体" w:eastAsia="黑体"/>
          <w:b/>
          <w:bCs/>
          <w:color w:val="333333"/>
          <w:sz w:val="32"/>
          <w:szCs w:val="32"/>
        </w:rPr>
        <w:t>录</w:t>
      </w:r>
    </w:p>
    <w:p w14:paraId="3FB9F326">
      <w:pPr>
        <w:pStyle w:val="6"/>
        <w:tabs>
          <w:tab w:val="right" w:leader="dot" w:pos="8306"/>
        </w:tabs>
        <w:rPr>
          <w:lang w:val="zh-CN"/>
        </w:rPr>
      </w:pPr>
    </w:p>
    <w:sdt>
      <w:sdtPr>
        <w:rPr>
          <w:rFonts w:hint="eastAsia" w:ascii="黑体" w:hAnsi="黑体" w:eastAsia="黑体" w:cs="黑体"/>
          <w:b w:val="0"/>
          <w:bCs w:val="0"/>
          <w:color w:val="auto"/>
          <w:kern w:val="2"/>
          <w:sz w:val="32"/>
          <w:szCs w:val="32"/>
          <w:lang w:val="zh-CN" w:eastAsia="zh-CN" w:bidi="ar-SA"/>
        </w:rPr>
        <w:id w:val="1614483799"/>
        <w:docPartObj>
          <w:docPartGallery w:val="Table of Contents"/>
          <w:docPartUnique/>
        </w:docPartObj>
      </w:sdtPr>
      <w:sdtEndPr>
        <w:rPr>
          <w:rFonts w:hint="eastAsia" w:asciiTheme="minorHAnsi" w:hAnsiTheme="minorHAnsi" w:eastAsiaTheme="minorEastAsia" w:cstheme="minorBidi"/>
          <w:b/>
          <w:bCs/>
          <w:color w:val="auto"/>
          <w:kern w:val="2"/>
          <w:sz w:val="21"/>
          <w:szCs w:val="22"/>
          <w:lang w:val="zh-CN" w:eastAsia="zh-CN" w:bidi="ar-SA"/>
        </w:rPr>
      </w:sdtEndPr>
      <w:sdtContent>
        <w:p w14:paraId="6C8EEA6A">
          <w:pPr>
            <w:pStyle w:val="6"/>
            <w:tabs>
              <w:tab w:val="right" w:leader="dot" w:pos="8306"/>
            </w:tabs>
            <w:rPr>
              <w:rFonts w:hint="default"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上级会议精神学习</w:t>
          </w:r>
        </w:p>
        <w:p w14:paraId="7A683BA1">
          <w:pPr>
            <w:pStyle w:val="6"/>
            <w:tabs>
              <w:tab w:val="right" w:pos="8000"/>
              <w:tab w:val="right" w:leader="dot" w:pos="8306"/>
            </w:tabs>
            <w:rPr>
              <w:rFonts w:hint="eastAsia" w:ascii="楷体" w:hAnsi="楷体" w:eastAsia="楷体" w:cs="楷体"/>
              <w:bCs/>
              <w:sz w:val="32"/>
              <w:szCs w:val="32"/>
              <w:shd w:val="clear" w:color="auto" w:fill="FFFFFF"/>
              <w:lang w:val="en-US" w:eastAsia="zh-CN"/>
            </w:rPr>
          </w:pP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TOC \o "1-3" \h \z \u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zh-CN" w:eastAsia="zh-CN"/>
            </w:rPr>
            <w:fldChar w:fldCharType="begin"/>
          </w:r>
          <w:r>
            <w:rPr>
              <w:rFonts w:hint="eastAsia" w:ascii="楷体" w:hAnsi="楷体" w:eastAsia="楷体" w:cs="楷体"/>
              <w:bCs/>
              <w:sz w:val="32"/>
              <w:szCs w:val="32"/>
              <w:shd w:val="clear" w:color="auto" w:fill="FFFFFF"/>
              <w:lang w:val="zh-CN" w:eastAsia="zh-CN"/>
            </w:rPr>
            <w:instrText xml:space="preserve"> HYPERLINK \l _Toc29497 </w:instrText>
          </w:r>
          <w:r>
            <w:rPr>
              <w:rFonts w:hint="eastAsia" w:ascii="楷体" w:hAnsi="楷体" w:eastAsia="楷体" w:cs="楷体"/>
              <w:bCs/>
              <w:sz w:val="32"/>
              <w:szCs w:val="32"/>
              <w:shd w:val="clear" w:color="auto" w:fill="FFFFFF"/>
              <w:lang w:val="zh-CN" w:eastAsia="zh-CN"/>
            </w:rPr>
            <w:fldChar w:fldCharType="separate"/>
          </w:r>
          <w:r>
            <w:rPr>
              <w:rFonts w:hint="eastAsia" w:ascii="楷体" w:hAnsi="楷体" w:eastAsia="楷体" w:cs="楷体"/>
              <w:bCs/>
              <w:sz w:val="32"/>
              <w:szCs w:val="32"/>
              <w:shd w:val="clear" w:color="auto" w:fill="FFFFFF"/>
              <w:lang w:val="en-US" w:eastAsia="zh-CN"/>
            </w:rPr>
            <w:t>李强总理在国务院第三次廉政工作会议上的重要讲话精神</w:t>
          </w:r>
          <w:r>
            <w:rPr>
              <w:rFonts w:hint="eastAsia" w:ascii="楷体" w:hAnsi="楷体" w:eastAsia="楷体" w:cs="楷体"/>
              <w:bCs/>
              <w:sz w:val="32"/>
              <w:szCs w:val="32"/>
              <w:shd w:val="clear" w:color="auto" w:fill="FFFFFF"/>
              <w:lang w:val="en-US" w:eastAsia="zh-CN"/>
            </w:rPr>
            <w:tab/>
          </w: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PAGEREF _Toc29497 \h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en-US" w:eastAsia="zh-CN"/>
            </w:rPr>
            <w:t>1</w:t>
          </w:r>
          <w:r>
            <w:rPr>
              <w:rFonts w:hint="eastAsia" w:ascii="楷体" w:hAnsi="楷体" w:eastAsia="楷体" w:cs="楷体"/>
              <w:bCs/>
              <w:sz w:val="32"/>
              <w:szCs w:val="32"/>
              <w:shd w:val="clear" w:color="auto" w:fill="FFFFFF"/>
              <w:lang w:val="en-US" w:eastAsia="zh-CN"/>
            </w:rPr>
            <w:fldChar w:fldCharType="end"/>
          </w:r>
          <w:r>
            <w:rPr>
              <w:rFonts w:hint="eastAsia" w:ascii="楷体" w:hAnsi="楷体" w:eastAsia="楷体" w:cs="楷体"/>
              <w:bCs/>
              <w:sz w:val="32"/>
              <w:szCs w:val="32"/>
              <w:shd w:val="clear" w:color="auto" w:fill="FFFFFF"/>
              <w:lang w:val="zh-CN" w:eastAsia="zh-CN"/>
            </w:rPr>
            <w:fldChar w:fldCharType="end"/>
          </w:r>
        </w:p>
        <w:p w14:paraId="368BE1CB">
          <w:pPr>
            <w:pStyle w:val="6"/>
            <w:tabs>
              <w:tab w:val="right" w:leader="dot" w:pos="8306"/>
            </w:tabs>
          </w:pPr>
        </w:p>
        <w:p w14:paraId="4343C70A">
          <w:pPr>
            <w:pStyle w:val="6"/>
            <w:tabs>
              <w:tab w:val="right" w:leader="dot" w:pos="8306"/>
            </w:tabs>
            <w:rPr>
              <w:rFonts w:hint="default"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中国共产党纪律处分条例学习</w:t>
          </w:r>
        </w:p>
        <w:p w14:paraId="465FFFFE">
          <w:pPr>
            <w:pStyle w:val="6"/>
            <w:tabs>
              <w:tab w:val="right" w:leader="dot" w:pos="8306"/>
            </w:tabs>
            <w:jc w:val="both"/>
            <w:rPr>
              <w:rFonts w:hint="default" w:ascii="楷体" w:hAnsi="楷体" w:eastAsia="楷体" w:cs="楷体"/>
              <w:bCs/>
              <w:sz w:val="32"/>
              <w:szCs w:val="32"/>
              <w:shd w:val="clear" w:color="auto" w:fill="FFFFFF"/>
              <w:lang w:val="en-US" w:eastAsia="zh-CN"/>
            </w:rPr>
          </w:pPr>
          <w:r>
            <w:rPr>
              <w:rFonts w:hint="eastAsia" w:ascii="楷体" w:hAnsi="楷体" w:eastAsia="楷体" w:cs="楷体"/>
              <w:bCs/>
              <w:sz w:val="32"/>
              <w:szCs w:val="32"/>
              <w:shd w:val="clear" w:color="auto" w:fill="FFFFFF"/>
              <w:lang w:val="zh-CN" w:eastAsia="zh-CN"/>
            </w:rPr>
            <w:fldChar w:fldCharType="begin"/>
          </w:r>
          <w:r>
            <w:rPr>
              <w:rFonts w:hint="eastAsia" w:ascii="楷体" w:hAnsi="楷体" w:eastAsia="楷体" w:cs="楷体"/>
              <w:bCs/>
              <w:sz w:val="32"/>
              <w:szCs w:val="32"/>
              <w:shd w:val="clear" w:color="auto" w:fill="FFFFFF"/>
              <w:lang w:val="zh-CN" w:eastAsia="zh-CN"/>
            </w:rPr>
            <w:instrText xml:space="preserve"> HYPERLINK \l _Toc27589 </w:instrText>
          </w:r>
          <w:r>
            <w:rPr>
              <w:rFonts w:hint="eastAsia" w:ascii="楷体" w:hAnsi="楷体" w:eastAsia="楷体" w:cs="楷体"/>
              <w:bCs/>
              <w:sz w:val="32"/>
              <w:szCs w:val="32"/>
              <w:shd w:val="clear" w:color="auto" w:fill="FFFFFF"/>
              <w:lang w:val="zh-CN" w:eastAsia="zh-CN"/>
            </w:rPr>
            <w:fldChar w:fldCharType="separate"/>
          </w:r>
          <w:r>
            <w:rPr>
              <w:rFonts w:hint="eastAsia" w:ascii="楷体" w:hAnsi="楷体" w:eastAsia="楷体" w:cs="楷体"/>
              <w:bCs/>
              <w:sz w:val="32"/>
              <w:szCs w:val="32"/>
              <w:shd w:val="clear" w:color="auto" w:fill="FFFFFF"/>
              <w:lang w:val="en-US" w:eastAsia="zh-CN"/>
            </w:rPr>
            <w:t>关于《中国共产党纪律处分条例》政治纪律修订的重点内容</w:t>
          </w:r>
          <w:r>
            <w:rPr>
              <w:rFonts w:hint="default" w:ascii="楷体" w:hAnsi="楷体" w:eastAsia="楷体" w:cs="楷体"/>
              <w:bCs/>
              <w:sz w:val="32"/>
              <w:szCs w:val="32"/>
              <w:shd w:val="clear" w:color="auto" w:fill="FFFFFF"/>
              <w:lang w:val="en-US" w:eastAsia="zh-CN"/>
            </w:rPr>
            <w:tab/>
          </w:r>
          <w:r>
            <w:rPr>
              <w:rFonts w:hint="default" w:ascii="楷体" w:hAnsi="楷体" w:eastAsia="楷体" w:cs="楷体"/>
              <w:bCs/>
              <w:sz w:val="32"/>
              <w:szCs w:val="32"/>
              <w:shd w:val="clear" w:color="auto" w:fill="FFFFFF"/>
              <w:lang w:val="en-US" w:eastAsia="zh-CN"/>
            </w:rPr>
            <w:fldChar w:fldCharType="begin"/>
          </w:r>
          <w:r>
            <w:rPr>
              <w:rFonts w:hint="default" w:ascii="楷体" w:hAnsi="楷体" w:eastAsia="楷体" w:cs="楷体"/>
              <w:bCs/>
              <w:sz w:val="32"/>
              <w:szCs w:val="32"/>
              <w:shd w:val="clear" w:color="auto" w:fill="FFFFFF"/>
              <w:lang w:val="en-US" w:eastAsia="zh-CN"/>
            </w:rPr>
            <w:instrText xml:space="preserve"> PAGEREF _Toc27589 \h </w:instrText>
          </w:r>
          <w:r>
            <w:rPr>
              <w:rFonts w:hint="default" w:ascii="楷体" w:hAnsi="楷体" w:eastAsia="楷体" w:cs="楷体"/>
              <w:bCs/>
              <w:sz w:val="32"/>
              <w:szCs w:val="32"/>
              <w:shd w:val="clear" w:color="auto" w:fill="FFFFFF"/>
              <w:lang w:val="en-US" w:eastAsia="zh-CN"/>
            </w:rPr>
            <w:fldChar w:fldCharType="separate"/>
          </w:r>
          <w:r>
            <w:rPr>
              <w:rFonts w:hint="default" w:ascii="楷体" w:hAnsi="楷体" w:eastAsia="楷体" w:cs="楷体"/>
              <w:bCs/>
              <w:sz w:val="32"/>
              <w:szCs w:val="32"/>
              <w:shd w:val="clear" w:color="auto" w:fill="FFFFFF"/>
              <w:lang w:val="en-US" w:eastAsia="zh-CN"/>
            </w:rPr>
            <w:t>3</w:t>
          </w:r>
          <w:r>
            <w:rPr>
              <w:rFonts w:hint="default" w:ascii="楷体" w:hAnsi="楷体" w:eastAsia="楷体" w:cs="楷体"/>
              <w:bCs/>
              <w:sz w:val="32"/>
              <w:szCs w:val="32"/>
              <w:shd w:val="clear" w:color="auto" w:fill="FFFFFF"/>
              <w:lang w:val="en-US" w:eastAsia="zh-CN"/>
            </w:rPr>
            <w:fldChar w:fldCharType="end"/>
          </w:r>
          <w:r>
            <w:rPr>
              <w:rFonts w:hint="eastAsia" w:ascii="楷体" w:hAnsi="楷体" w:eastAsia="楷体" w:cs="楷体"/>
              <w:bCs/>
              <w:sz w:val="32"/>
              <w:szCs w:val="32"/>
              <w:shd w:val="clear" w:color="auto" w:fill="FFFFFF"/>
              <w:lang w:val="zh-CN" w:eastAsia="zh-CN"/>
            </w:rPr>
            <w:fldChar w:fldCharType="end"/>
          </w:r>
        </w:p>
        <w:p w14:paraId="597F3E92">
          <w:pPr>
            <w:pStyle w:val="6"/>
            <w:tabs>
              <w:tab w:val="right" w:leader="dot" w:pos="8306"/>
            </w:tabs>
            <w:jc w:val="both"/>
            <w:rPr>
              <w:rFonts w:hint="default" w:ascii="楷体" w:hAnsi="楷体" w:eastAsia="楷体" w:cs="楷体"/>
              <w:bCs/>
              <w:sz w:val="32"/>
              <w:szCs w:val="32"/>
              <w:shd w:val="clear" w:color="auto" w:fill="FFFFFF"/>
              <w:lang w:val="en-US" w:eastAsia="zh-CN"/>
            </w:rPr>
          </w:pPr>
          <w:r>
            <w:rPr>
              <w:rFonts w:hint="eastAsia" w:ascii="楷体" w:hAnsi="楷体" w:eastAsia="楷体" w:cs="楷体"/>
              <w:bCs/>
              <w:sz w:val="32"/>
              <w:szCs w:val="32"/>
              <w:shd w:val="clear" w:color="auto" w:fill="FFFFFF"/>
              <w:lang w:val="zh-CN" w:eastAsia="zh-CN"/>
            </w:rPr>
            <w:fldChar w:fldCharType="begin"/>
          </w:r>
          <w:r>
            <w:rPr>
              <w:rFonts w:hint="eastAsia" w:ascii="楷体" w:hAnsi="楷体" w:eastAsia="楷体" w:cs="楷体"/>
              <w:bCs/>
              <w:sz w:val="32"/>
              <w:szCs w:val="32"/>
              <w:shd w:val="clear" w:color="auto" w:fill="FFFFFF"/>
              <w:lang w:val="zh-CN" w:eastAsia="zh-CN"/>
            </w:rPr>
            <w:instrText xml:space="preserve"> HYPERLINK \l _Toc20542 </w:instrText>
          </w:r>
          <w:r>
            <w:rPr>
              <w:rFonts w:hint="eastAsia" w:ascii="楷体" w:hAnsi="楷体" w:eastAsia="楷体" w:cs="楷体"/>
              <w:bCs/>
              <w:sz w:val="32"/>
              <w:szCs w:val="32"/>
              <w:shd w:val="clear" w:color="auto" w:fill="FFFFFF"/>
              <w:lang w:val="zh-CN" w:eastAsia="zh-CN"/>
            </w:rPr>
            <w:fldChar w:fldCharType="separate"/>
          </w:r>
          <w:r>
            <w:rPr>
              <w:rFonts w:hint="eastAsia" w:ascii="楷体" w:hAnsi="楷体" w:eastAsia="楷体" w:cs="楷体"/>
              <w:bCs/>
              <w:sz w:val="32"/>
              <w:szCs w:val="32"/>
              <w:shd w:val="clear" w:color="auto" w:fill="FFFFFF"/>
              <w:lang w:val="en-US" w:eastAsia="zh-CN"/>
            </w:rPr>
            <w:t>关于《中国共产党纪律处分条例》组织纪律修订的重点内容</w:t>
          </w:r>
          <w:r>
            <w:rPr>
              <w:rFonts w:hint="default" w:ascii="楷体" w:hAnsi="楷体" w:eastAsia="楷体" w:cs="楷体"/>
              <w:bCs/>
              <w:sz w:val="32"/>
              <w:szCs w:val="32"/>
              <w:shd w:val="clear" w:color="auto" w:fill="FFFFFF"/>
              <w:lang w:val="en-US" w:eastAsia="zh-CN"/>
            </w:rPr>
            <w:tab/>
          </w:r>
          <w:r>
            <w:rPr>
              <w:rFonts w:hint="default" w:ascii="楷体" w:hAnsi="楷体" w:eastAsia="楷体" w:cs="楷体"/>
              <w:bCs/>
              <w:sz w:val="32"/>
              <w:szCs w:val="32"/>
              <w:shd w:val="clear" w:color="auto" w:fill="FFFFFF"/>
              <w:lang w:val="en-US" w:eastAsia="zh-CN"/>
            </w:rPr>
            <w:fldChar w:fldCharType="begin"/>
          </w:r>
          <w:r>
            <w:rPr>
              <w:rFonts w:hint="default" w:ascii="楷体" w:hAnsi="楷体" w:eastAsia="楷体" w:cs="楷体"/>
              <w:bCs/>
              <w:sz w:val="32"/>
              <w:szCs w:val="32"/>
              <w:shd w:val="clear" w:color="auto" w:fill="FFFFFF"/>
              <w:lang w:val="en-US" w:eastAsia="zh-CN"/>
            </w:rPr>
            <w:instrText xml:space="preserve"> PAGEREF _Toc20542 \h </w:instrText>
          </w:r>
          <w:r>
            <w:rPr>
              <w:rFonts w:hint="default" w:ascii="楷体" w:hAnsi="楷体" w:eastAsia="楷体" w:cs="楷体"/>
              <w:bCs/>
              <w:sz w:val="32"/>
              <w:szCs w:val="32"/>
              <w:shd w:val="clear" w:color="auto" w:fill="FFFFFF"/>
              <w:lang w:val="en-US" w:eastAsia="zh-CN"/>
            </w:rPr>
            <w:fldChar w:fldCharType="separate"/>
          </w:r>
          <w:r>
            <w:rPr>
              <w:rFonts w:hint="default" w:ascii="楷体" w:hAnsi="楷体" w:eastAsia="楷体" w:cs="楷体"/>
              <w:bCs/>
              <w:sz w:val="32"/>
              <w:szCs w:val="32"/>
              <w:shd w:val="clear" w:color="auto" w:fill="FFFFFF"/>
              <w:lang w:val="en-US" w:eastAsia="zh-CN"/>
            </w:rPr>
            <w:t>6</w:t>
          </w:r>
          <w:r>
            <w:rPr>
              <w:rFonts w:hint="default" w:ascii="楷体" w:hAnsi="楷体" w:eastAsia="楷体" w:cs="楷体"/>
              <w:bCs/>
              <w:sz w:val="32"/>
              <w:szCs w:val="32"/>
              <w:shd w:val="clear" w:color="auto" w:fill="FFFFFF"/>
              <w:lang w:val="en-US" w:eastAsia="zh-CN"/>
            </w:rPr>
            <w:fldChar w:fldCharType="end"/>
          </w:r>
          <w:r>
            <w:rPr>
              <w:rFonts w:hint="eastAsia" w:ascii="楷体" w:hAnsi="楷体" w:eastAsia="楷体" w:cs="楷体"/>
              <w:bCs/>
              <w:sz w:val="32"/>
              <w:szCs w:val="32"/>
              <w:shd w:val="clear" w:color="auto" w:fill="FFFFFF"/>
              <w:lang w:val="zh-CN" w:eastAsia="zh-CN"/>
            </w:rPr>
            <w:fldChar w:fldCharType="end"/>
          </w:r>
        </w:p>
        <w:p w14:paraId="18242C06">
          <w:pPr>
            <w:pStyle w:val="6"/>
            <w:tabs>
              <w:tab w:val="right" w:leader="dot" w:pos="8306"/>
            </w:tabs>
          </w:pPr>
          <w:r>
            <w:rPr>
              <w:rFonts w:hint="eastAsia" w:ascii="楷体" w:hAnsi="楷体" w:eastAsia="楷体" w:cs="楷体"/>
              <w:bCs/>
              <w:szCs w:val="32"/>
              <w:shd w:val="clear" w:color="auto" w:fill="FFFFFF"/>
              <w:lang w:val="zh-CN" w:eastAsia="zh-CN"/>
            </w:rPr>
            <w:fldChar w:fldCharType="end"/>
          </w:r>
        </w:p>
      </w:sdtContent>
    </w:sdt>
    <w:p w14:paraId="00C973DD">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0" w:name="_Toc23930"/>
    </w:p>
    <w:p w14:paraId="465A1DF7">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p>
    <w:p w14:paraId="6355F931">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p>
    <w:p w14:paraId="677A302E">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p>
    <w:p w14:paraId="22BA8D8F">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p>
    <w:p w14:paraId="15799BFA">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p>
    <w:p w14:paraId="3C58E326">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p>
    <w:p w14:paraId="5D3C847F">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p>
    <w:p w14:paraId="628E8AA8">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p>
    <w:p w14:paraId="3D488929">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p>
    <w:p w14:paraId="0B74B3D7">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p>
    <w:p w14:paraId="078F89FB">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r>
        <w:rPr>
          <w:rFonts w:hint="eastAsia" w:ascii="黑体" w:hAnsi="黑体" w:eastAsia="黑体" w:cs="黑体"/>
          <w:b/>
          <w:bCs/>
          <w:color w:val="000000"/>
          <w:sz w:val="28"/>
          <w:szCs w:val="28"/>
          <w:shd w:val="clear" w:color="auto" w:fill="FFFFFF"/>
          <w:lang w:val="en-US" w:eastAsia="zh-CN"/>
        </w:rPr>
        <w:t>李强总理在国务院第三次廉政工作会议上的重要讲话</w:t>
      </w:r>
      <w:bookmarkEnd w:id="0"/>
    </w:p>
    <w:p w14:paraId="19DE34B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p>
    <w:p w14:paraId="32F732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新华社北京1月17日电 1月17日，国务院召开第三次廉政工作会议，中共中央政治局常委、国务院总理李强在会上强调，要坚持以习近平新时代中国特色社会主义思想为指导，深入学习贯彻习近平总书记在二十届中央纪委四次全会上的重要讲话精神和党中央关于全面从严治党的战略部署，坚定不移把政府党风廉政建设和反腐败斗争向纵深推进，以全面从严治党新成效为推进高质量发展和中国式现代化提供坚强保障。</w:t>
      </w:r>
    </w:p>
    <w:p w14:paraId="7F26EBB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中共中央政治局常委、国务院副总理丁薛祥主持会议。国务院副总理何立峰、张国清、刘国中，国务委员王小洪、吴政隆、谌贻琴出席会议。</w:t>
      </w:r>
    </w:p>
    <w:p w14:paraId="21F19C5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中共中央政治局常委、中央纪委书记李希应邀出席会议。</w:t>
      </w:r>
    </w:p>
    <w:p w14:paraId="1AF5585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李强指出，习近平总书记在二十届中央纪委四次全会上的重要讲话，为深入推进全面从严治党、党风廉政建设和反腐败斗争指明了前进方向、提供了根本遵循。我们要切实把思想和行动统一到习近平总书记重要讲话和二十届中央纪委四次全会精神上来，坚持用习近平新时代中国特色社会主义思想凝心铸魂，深刻领悟“两个确立”的决定性意义，坚决做到“两个维护”。要深刻认识当前反腐败斗争形势仍然严峻复杂，深刻把握一体推进不敢腐、不能腐、不想腐的方针方略，以永远在路上的坚韧执着深入推进反腐败斗争。</w:t>
      </w:r>
    </w:p>
    <w:p w14:paraId="12B664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李强强调，要坚持严防严惩相结合，着力推进不正之风和腐败问题同查同治，多措并举全面铲除腐败滋生的土壤和条件。要以钉钉子精神落实中央八项规定精神，一严到底纠治“四风”，推动政风持续好转。要严肃财经纪律，管好用好公共资金，切实防止资金跑冒滴漏。要防范和严惩金融、国资国企、工程建设招投标等重点领域腐败，完善权力配置与运行监督制约机制，最大限度压缩腐败寻租空间。要持续深化整治群众身边的不正之风和腐败问题。要严格规范公正文明执法，严肃查处借行政执法之名吃拿卡要、故意刁难等行为。</w:t>
      </w:r>
    </w:p>
    <w:p w14:paraId="572249F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rPr>
        <w:t>李强强调，各级政府党组和各部门党组（党委）要压紧压实全面从严治党主体责任，把严的基调、严的措施、严的氛围一贯到底、落实到位。要以深化改革促廉洁，加快落实党的二十届三中全会部署的各项改革任务，不断扎紧制度“笼子”，加力推进“高效办成一件事”，让群众和企业有更多获得感。要把廉政和勤政统一起来，勤政担当、创造性地落实党中央决策部署，在攻坚克难中打开改革发展的新天地。</w:t>
      </w:r>
    </w:p>
    <w:p w14:paraId="69F3159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仿宋_GB2312" w:hAnsi="仿宋_GB2312" w:eastAsia="仿宋_GB2312" w:cs="仿宋_GB2312"/>
        </w:rPr>
        <w:t>国家发展改革委、市场监管总局、福建省政府、四川省政府主要负责同志在会上发言。</w:t>
      </w:r>
    </w:p>
    <w:p w14:paraId="0D190DDB">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1" w:name="_Toc27589"/>
      <w:bookmarkStart w:id="2" w:name="_Toc5671"/>
      <w:r>
        <w:rPr>
          <w:rFonts w:hint="eastAsia" w:ascii="黑体" w:hAnsi="黑体" w:eastAsia="黑体" w:cs="黑体"/>
          <w:b/>
          <w:bCs/>
          <w:color w:val="000000"/>
          <w:sz w:val="28"/>
          <w:szCs w:val="28"/>
          <w:shd w:val="clear" w:color="auto" w:fill="FFFFFF"/>
          <w:lang w:val="en-US" w:eastAsia="zh-CN"/>
        </w:rPr>
        <w:t>关于《中国共产党纪律处分条例》政治纪律修订的重点内容</w:t>
      </w:r>
      <w:bookmarkEnd w:id="1"/>
    </w:p>
    <w:p w14:paraId="6C8F4838">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9"/>
        <w:rPr>
          <w:rFonts w:hint="eastAsia" w:ascii="黑体" w:hAnsi="黑体" w:eastAsia="黑体" w:cs="黑体"/>
          <w:b/>
          <w:bCs/>
          <w:color w:val="000000"/>
          <w:sz w:val="28"/>
          <w:szCs w:val="28"/>
          <w:shd w:val="clear" w:color="auto" w:fill="FFFFFF"/>
          <w:lang w:val="en-US" w:eastAsia="zh-CN"/>
        </w:rPr>
      </w:pPr>
      <w:r>
        <w:rPr>
          <w:rFonts w:hint="eastAsia" w:ascii="黑体" w:hAnsi="黑体" w:eastAsia="黑体" w:cs="黑体"/>
          <w:b/>
          <w:bCs/>
          <w:color w:val="000000"/>
          <w:sz w:val="28"/>
          <w:szCs w:val="28"/>
          <w:shd w:val="clear" w:color="auto" w:fill="FFFFFF"/>
          <w:lang w:val="en-US" w:eastAsia="zh-CN"/>
        </w:rPr>
        <w:t>政治纪律是什么，违反政治纪律的行为有哪些？</w:t>
      </w:r>
      <w:bookmarkEnd w:id="2"/>
    </w:p>
    <w:p w14:paraId="399DE1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outlineLvl w:val="9"/>
        <w:rPr>
          <w:rFonts w:hint="eastAsia" w:ascii="仿宋_GB2312" w:hAnsi="仿宋_GB2312" w:eastAsia="仿宋_GB2312" w:cs="仿宋_GB2312"/>
        </w:rPr>
      </w:pPr>
    </w:p>
    <w:p w14:paraId="72412CB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《中国共产党纪律处分条例》第二编分则第六章是对违反政治纪律的行为的处分规定。新修订的纪律处分条例第六章共 28 条，增写2条，修改 12 条。</w:t>
      </w:r>
    </w:p>
    <w:p w14:paraId="7005E1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政治纪律是党的各级组织和全体党员在政治立场、政治方向、政治原则、政治道路上必须遵守的行为规则，是维护党的团结统一的根本保证。在党的纪律中，政治纪律是最重要、最根本、最关键的纪律，是打头、管总的纪律，遵守政治纪律和政治规矩是遵守党的全部纪律的前提和基础。</w:t>
      </w:r>
    </w:p>
    <w:p w14:paraId="6081B2B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本章规定的违反政治纪律行为主要包括以下几类：在重大原则问题上不同党中央保持一致；发表、传播有严重政治问题的言论；不执行党中央决策部署；对党组织不忠诚不老实；不坚定理想信念；涉外活动中存在有政治问题的言行；履行管党治党政治责任失职；违反政治规矩等。</w:t>
      </w:r>
    </w:p>
    <w:p w14:paraId="3DE6B2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新增第五十五条，明确对搞投机钻营、结交政治骗子以及充当政治骗子行为的处分规定；新增第五十七条，充实党员领导干部政绩观错位，违背新发展理念、背离高质量发展要求的处分规定，将搞劳民伤财的“形象工程”“政绩工程”行为由违反群众纪律调整到违反政治纪律。在第五十二条增写对私自阅看、浏览、收听有严重政治问题资料，情节严重行为的处分规定；在第五十四条增写搞政治攀附行为的处分规定；在第五十六条增写对不顾党和国家大局、搞部门或者地方保护主义行为的处分规定，将贯彻党中央决策部署只表态不落实行为由违反工作纪律调整到违反政治纪律；在第六十九条明确对信仰宗教的党员加强思想教育，要求其限期改正；在第七十条增写对个人搞迷信活动行为的处分规定，促进党员坚定理想信念，永葆政治本色。</w:t>
      </w:r>
    </w:p>
    <w:p w14:paraId="3E69D40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p>
    <w:p w14:paraId="558DC64C">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9"/>
        <w:rPr>
          <w:rFonts w:hint="eastAsia" w:ascii="黑体" w:hAnsi="黑体" w:eastAsia="黑体" w:cs="黑体"/>
          <w:b/>
          <w:bCs/>
          <w:color w:val="000000"/>
          <w:sz w:val="28"/>
          <w:szCs w:val="28"/>
          <w:shd w:val="clear" w:color="auto" w:fill="FFFFFF"/>
          <w:lang w:val="en-US" w:eastAsia="zh-CN"/>
        </w:rPr>
      </w:pPr>
      <w:bookmarkStart w:id="3" w:name="_Toc25728"/>
      <w:r>
        <w:rPr>
          <w:rFonts w:hint="eastAsia" w:ascii="黑体" w:hAnsi="黑体" w:eastAsia="黑体" w:cs="黑体"/>
          <w:b/>
          <w:bCs/>
          <w:color w:val="000000"/>
          <w:sz w:val="28"/>
          <w:szCs w:val="28"/>
          <w:shd w:val="clear" w:color="auto" w:fill="FFFFFF"/>
          <w:lang w:val="en-US" w:eastAsia="zh-CN"/>
        </w:rPr>
        <w:t>严明党的政治纪律 坚决维护党中央权威和集中统一领导</w:t>
      </w:r>
      <w:bookmarkEnd w:id="3"/>
    </w:p>
    <w:p w14:paraId="036EFF67">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9"/>
        <w:rPr>
          <w:rFonts w:hint="eastAsia" w:ascii="黑体" w:hAnsi="黑体" w:eastAsia="黑体" w:cs="黑体"/>
          <w:b/>
          <w:bCs/>
          <w:color w:val="000000"/>
          <w:sz w:val="28"/>
          <w:szCs w:val="28"/>
          <w:shd w:val="clear" w:color="auto" w:fill="FFFFFF"/>
          <w:lang w:val="en-US" w:eastAsia="zh-CN"/>
        </w:rPr>
      </w:pPr>
    </w:p>
    <w:p w14:paraId="01DDAC8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政治纪律是各级党组织和全体党员在政治方向、政治立场、政治言论、政治行为方面必须遵守的规矩，是维护党的团结统一的根本保证，其本质要求是坚持党的全面领导和党中央集中统一领导，坚决做到“两个维护”。习近平总书记强调，政治纪律是最重要、最根本、最关键的纪律，遵守党的政治纪律是遵守党的全部纪律的重要基础，“必须执行政治纪律，带动各项纪律全面从严、一严到底”。新修订的《中国共产党纪律处分条例》（以下简称《条例》）第六章“对违反政治纪律行为的处分”，聚焦新时代新征程党的使命任务，进一步严明政治纪律和政治规矩，推动维护党的团结统一。</w:t>
      </w:r>
    </w:p>
    <w:p w14:paraId="219E7E2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一是坚决维护党中央权威，保障党中央政令畅通。“两个维护”是党的最高政治原则和根本政治规矩，必须以严明纪律作保障。党的政治建设的首要任务，就是保证全党服从中央，坚持党中央权威和集中统一领导，在这一点上绝不能有丝毫含糊和动摇。《条例》第五十六条第二款，将贯彻党中央决策部署只表态不落实行为由原来的违反工作纪律调整到违反政治纪律；增写第三款，规定对不顾党和国家大局，搞部门或者地方保护主义行为的处分规定。《条例》作出上述修订，在于推动党员、干部将维护党中央集中统一领导见诸行动、见诸实效，正确处理全局和局部、中央和地方的关系，自觉防止和反对个人主义、分散主义、自由主义、本位主义，在落实党中央决策部署上坚决做到言行一致、不折不扣。</w:t>
      </w:r>
    </w:p>
    <w:p w14:paraId="52BB7BD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二是推动完整、准确、全面贯彻新发展理念，促进高质量发展。习近平总书记指出，要树牢造福人民的政绩观；完整、准确、全面贯彻新发展理念，是经济社会发展的工作要求，也是十分重要的政治要求；高质量发展是全面建设社会主义现代化国家的首要任务，坚持高质量发展要成为领导干部政绩观的重要内容。《条例》新增第五十七条，充实党员领导干部政绩观错位，违背新发展理念、背离高质量发展要求的处分规定，将搞劳民伤财的“形象工程”、“政绩工程”行为由原来的违反群众纪律调整到违反政治纪律。实践中，一些党员领导干部在贯彻高质量发展要求上掉队、走偏，有的是能力不足或者工作作风问题，但也有些是因为政绩观错位造成的。对于政绩观错位，把干事和个人名利捆绑在一起，热衷于树个人形象、捞政治资本，好大喜功、急功近利、贪图虚名，在贯彻新发展理念、推动高质量发展中偏离政治要求，给党、国家和人民利益造成大的损失的，应当以违反政治纪律进行惩戒。党员领导干部要切实贯彻党中央要求，牢记为民造福是最大的政绩，把新发展理念、高质量发展的要求落到实处。</w:t>
      </w:r>
    </w:p>
    <w:p w14:paraId="278889E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三是推动发展积极健康的党内政治文化，营造良好政治生态。习近平总书记强调，党内上下关系、人际关系、工作氛围都要突出团结和谐、纯洁健康、弘扬正气，不允许搞团团伙伙、帮帮派派，不允许搞利益集团、进行利益交换，指出“有的案件一查处就是一串人，拔出萝卜带出泥，其中一个重要原因就是形成了事实上的人身依附关系”。《关于新形势下党内政治生活的若干准则》明确规定，“对那些投机取巧、拉帮结派、搞团团伙伙的人，要严格防范，依纪依规处理”，强调“党内不准搞人身依附关系”。此次修订《条例》，在第五十四条有针对性地增写了对搞政治攀附行为的处分规定；新增第五十五条对搞投机钻营，结交政治骗子或者被政治骗子利用，以及充当政治骗子行为的处分规定。党员、干部搞政治攀附，归根结底是为了谋求职务晋升，对“后台”、“靠山”刻意贴靠、鞍前马后、任其差遣，把清清爽爽的同志关系异化为非正常的攀附、依附关系。党员、干部结交政治骗子，本质在于投机钻营，为了提拔重用或者逃避纪法追究而热衷搞旁门左道，信奉所谓“潜规则”而找门子，从而被迷住了心窍，为政治骗子提供了条件。这些行为都是缺乏政治定力和政治自律的具体表现，严重污染政治生态，造成政治危害。《条例》对这些不讲党性、不讲原则、不讲规矩的行为进行坚决惩治，就是要加强党的政治建设，营造良好政治生态，切实维护党的团结统一。</w:t>
      </w:r>
    </w:p>
    <w:p w14:paraId="4022DD3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四是规范政治言行，促进坚定理想信念。习近平总书记强调，对马克思主义的信仰，对社会主义和共产主义的信念，是共产党人的政治灵魂，是共产党人经受任何考验的精神支柱。《条例》针对执纪中发现的问题，在第五十二条增写对私自阅看、浏览、收听有严重政治问题资料，情节严重行为的处分规定；在第六十九条进一步完善对党员信仰宗教行为的处理处分规定，明确对信仰宗教的党员加强思想教育，要求其限期改正；在第七十条增写对党员个人搞迷信活动的处分规定。党员、干部有这些行为，体现出其信仰迷茫、精神迷失，政治上的危害不容忽视。党员、干部要将坚定理想信念、坚守共产党人精神追求作为安身立命的根本，永葆共产党人政治本色。</w:t>
      </w:r>
    </w:p>
    <w:p w14:paraId="7CFC92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同党中央保持高度一致不仅是政治要求，而且是政治纪律。党员、干部要严格执行和维护党的政治纪律，切实提高政治判断力、政治领悟力、政治执行力，自觉维护党中央权威和集中统一领导，自觉在思想上政治上行动上同以习近平同志为核心的党中央保持高度一致，以实际行动维护党的团结统一。</w:t>
      </w:r>
    </w:p>
    <w:p w14:paraId="7A8B92D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p>
    <w:p w14:paraId="63CADD9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p>
    <w:p w14:paraId="32A5F28E">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4" w:name="_Toc20542"/>
      <w:bookmarkStart w:id="5" w:name="_Toc11448"/>
      <w:r>
        <w:rPr>
          <w:rFonts w:hint="eastAsia" w:ascii="黑体" w:hAnsi="黑体" w:eastAsia="黑体" w:cs="黑体"/>
          <w:b/>
          <w:bCs/>
          <w:color w:val="000000"/>
          <w:sz w:val="28"/>
          <w:szCs w:val="28"/>
          <w:shd w:val="clear" w:color="auto" w:fill="FFFFFF"/>
          <w:lang w:val="en-US" w:eastAsia="zh-CN"/>
        </w:rPr>
        <w:t>关于《中国共产党纪律处分条例》组织纪律修订的重点内容</w:t>
      </w:r>
      <w:bookmarkEnd w:id="4"/>
    </w:p>
    <w:p w14:paraId="5FF6BCFD">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9"/>
        <w:rPr>
          <w:rFonts w:hint="eastAsia" w:ascii="黑体" w:hAnsi="黑体" w:eastAsia="黑体" w:cs="黑体"/>
          <w:b/>
          <w:bCs/>
          <w:color w:val="000000"/>
          <w:sz w:val="28"/>
          <w:szCs w:val="28"/>
          <w:shd w:val="clear" w:color="auto" w:fill="FFFFFF"/>
          <w:lang w:val="en-US" w:eastAsia="zh-CN"/>
        </w:rPr>
      </w:pPr>
      <w:r>
        <w:rPr>
          <w:rFonts w:hint="eastAsia" w:ascii="黑体" w:hAnsi="黑体" w:eastAsia="黑体" w:cs="黑体"/>
          <w:b/>
          <w:bCs/>
          <w:color w:val="000000"/>
          <w:sz w:val="28"/>
          <w:szCs w:val="28"/>
          <w:shd w:val="clear" w:color="auto" w:fill="FFFFFF"/>
          <w:lang w:val="en-US" w:eastAsia="zh-CN"/>
        </w:rPr>
        <w:t>组织纪律是什么，违反组织纪律的行为有哪些？</w:t>
      </w:r>
      <w:bookmarkEnd w:id="5"/>
    </w:p>
    <w:p w14:paraId="6E3D4A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p>
    <w:p w14:paraId="3FF1E83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《中国共产党纪律处分条例》第二编分则第</w:t>
      </w:r>
      <w:r>
        <w:rPr>
          <w:rFonts w:hint="eastAsia" w:ascii="仿宋_GB2312" w:hAnsi="仿宋_GB2312" w:eastAsia="仿宋_GB2312" w:cs="仿宋_GB2312"/>
          <w:lang w:val="en-US" w:eastAsia="zh-CN"/>
        </w:rPr>
        <w:t>七</w:t>
      </w:r>
      <w:r>
        <w:rPr>
          <w:rFonts w:hint="eastAsia" w:ascii="仿宋_GB2312" w:hAnsi="仿宋_GB2312" w:eastAsia="仿宋_GB2312" w:cs="仿宋_GB2312"/>
        </w:rPr>
        <w:t>章是对违反</w:t>
      </w:r>
      <w:r>
        <w:rPr>
          <w:rFonts w:hint="eastAsia" w:ascii="仿宋_GB2312" w:hAnsi="仿宋_GB2312" w:eastAsia="仿宋_GB2312" w:cs="仿宋_GB2312"/>
          <w:lang w:val="en-US" w:eastAsia="zh-CN"/>
        </w:rPr>
        <w:t>组织</w:t>
      </w:r>
      <w:r>
        <w:rPr>
          <w:rFonts w:hint="eastAsia" w:ascii="仿宋_GB2312" w:hAnsi="仿宋_GB2312" w:eastAsia="仿宋_GB2312" w:cs="仿宋_GB2312"/>
        </w:rPr>
        <w:t>纪律的行为的处分规定。新修订的纪律处分条例第</w:t>
      </w:r>
      <w:r>
        <w:rPr>
          <w:rFonts w:hint="eastAsia" w:ascii="仿宋_GB2312" w:hAnsi="仿宋_GB2312" w:eastAsia="仿宋_GB2312" w:cs="仿宋_GB2312"/>
          <w:lang w:val="en-US" w:eastAsia="zh-CN"/>
        </w:rPr>
        <w:t>七</w:t>
      </w:r>
      <w:r>
        <w:rPr>
          <w:rFonts w:hint="eastAsia" w:ascii="仿宋_GB2312" w:hAnsi="仿宋_GB2312" w:eastAsia="仿宋_GB2312" w:cs="仿宋_GB2312"/>
        </w:rPr>
        <w:t xml:space="preserve">章共 </w:t>
      </w:r>
      <w:r>
        <w:rPr>
          <w:rFonts w:hint="eastAsia" w:ascii="仿宋_GB2312" w:hAnsi="仿宋_GB2312" w:eastAsia="仿宋_GB2312" w:cs="仿宋_GB2312"/>
          <w:lang w:val="en-US" w:eastAsia="zh-CN"/>
        </w:rPr>
        <w:t>17</w:t>
      </w:r>
      <w:r>
        <w:rPr>
          <w:rFonts w:hint="eastAsia" w:ascii="仿宋_GB2312" w:hAnsi="仿宋_GB2312" w:eastAsia="仿宋_GB2312" w:cs="仿宋_GB2312"/>
        </w:rPr>
        <w:t xml:space="preserve"> 条，增写2条，修改 </w:t>
      </w:r>
      <w:r>
        <w:rPr>
          <w:rFonts w:hint="eastAsia" w:ascii="仿宋_GB2312" w:hAnsi="仿宋_GB2312" w:eastAsia="仿宋_GB2312" w:cs="仿宋_GB2312"/>
          <w:lang w:val="en-US" w:eastAsia="zh-CN"/>
        </w:rPr>
        <w:t>7</w:t>
      </w:r>
      <w:r>
        <w:rPr>
          <w:rFonts w:hint="eastAsia" w:ascii="仿宋_GB2312" w:hAnsi="仿宋_GB2312" w:eastAsia="仿宋_GB2312" w:cs="仿宋_GB2312"/>
        </w:rPr>
        <w:t xml:space="preserve"> 条。</w:t>
      </w:r>
    </w:p>
    <w:p w14:paraId="5BE8C0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组织纪律是规范和处理党的各级组织之间，党组织和党员之间以及党员与党员之间关系的行为规则，是维护党的集中统一、保持党的战斗力的基本条件，其本质要求是坚持民主集中制，贯彻落实新时代党的组织路线。</w:t>
      </w:r>
    </w:p>
    <w:p w14:paraId="4898616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违反组织纪律的行为主要包括以下几类：违反民主集中制原则；不落实组织决定；不按规定说明和报告；搞非组织活动；违规选任干部；违规谋取人事利益；侵犯党员权利；违规发展党员；违反出国（境）管理规定等。</w:t>
      </w:r>
    </w:p>
    <w:p w14:paraId="4ED2780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新增第八十条，对在党组织纪律审查中，依法依规负有作证义务的党员拒绝作证或者故意提供虚假情况，达到情节较重或者情节严重程度的，给予警告、严重警告直至开除党籍的处分；新增第八十五条，明确规定在推进领导干部能上能下工作中搞好人主义，存在以党纪政务等处分规避组织调整、以组织调整代替党纪政务等处分或者其他避重就轻作出处理行为的，视情节给予相应处分。在第八十六条增写对在授予学术称号中弄虚作假、违规谋利行为的处分规定，促进营造识才爱才敬才用才的良好氛围，为推动创新人才评价机制提供纪律保障；在第九十一条对党员虽经批准因私出国（境）但存在超出批准范围的行为作出处分规定；等等。</w:t>
      </w:r>
    </w:p>
    <w:p w14:paraId="6145D56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lang w:val="en-US" w:eastAsia="zh-CN"/>
        </w:rPr>
      </w:pPr>
    </w:p>
    <w:p w14:paraId="6D788529">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9"/>
        <w:rPr>
          <w:rFonts w:hint="eastAsia" w:ascii="黑体" w:hAnsi="黑体" w:eastAsia="黑体" w:cs="黑体"/>
          <w:b/>
          <w:bCs/>
          <w:color w:val="000000"/>
          <w:sz w:val="28"/>
          <w:szCs w:val="28"/>
          <w:shd w:val="clear" w:color="auto" w:fill="FFFFFF"/>
          <w:lang w:val="en-US" w:eastAsia="zh-CN"/>
        </w:rPr>
      </w:pPr>
      <w:bookmarkStart w:id="6" w:name="_Toc7306"/>
      <w:r>
        <w:rPr>
          <w:rFonts w:hint="eastAsia" w:ascii="黑体" w:hAnsi="黑体" w:eastAsia="黑体" w:cs="黑体"/>
          <w:b/>
          <w:bCs/>
          <w:color w:val="000000"/>
          <w:sz w:val="28"/>
          <w:szCs w:val="28"/>
          <w:shd w:val="clear" w:color="auto" w:fill="FFFFFF"/>
          <w:lang w:val="en-US" w:eastAsia="zh-CN"/>
        </w:rPr>
        <w:t>严明党的组织纪律 增强组织纪律性</w:t>
      </w:r>
      <w:bookmarkEnd w:id="6"/>
    </w:p>
    <w:p w14:paraId="1647283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lang w:val="en-US" w:eastAsia="zh-CN"/>
        </w:rPr>
      </w:pPr>
      <w:bookmarkStart w:id="7" w:name="_GoBack"/>
      <w:bookmarkEnd w:id="7"/>
    </w:p>
    <w:p w14:paraId="0904F3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组织纪律是规范和处理党的各级组织之间，党组织和党员之间以及党员与党员之间关系的行为规则，是维护党的集中统一、保持党的战斗力的基本条件，其本质要求是坚持民主集中制，贯彻落实新时代党的组织路线。习近平总书记指出，党的力量来自组织，组织能使力量倍增，强调“要好好抓一抓组织纪律，加强全党的组织纪律性”。新修订的《中国共产党纪律处分条例》（以下简称《条例》）第七章“对违反组织纪律行为的处分”，着眼贯彻新时代党的组织路线，紧紧围绕落实新时代好干部标准、增强党员组织观念、保障人才评价机制落实等方面，不断严明党的组织纪律。</w:t>
      </w:r>
    </w:p>
    <w:p w14:paraId="1F7FEB8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一是推动落实能上能下的选人用人机制，保护党员、干部积极性主动性创造性。习近平总书记强调，着力解决一些干部不作为、乱作为等问题，推动干部能上能下，让那些想干事、肯干事、能干成事的干部有更好用武之地，激发全党坚定信心、鼓足干劲、增强创造活力。党的二十大对“推动干部能上能下、能进能出”作出部署、提出要求。中共中央办公厅2022年9月印发《推进领导干部能上能下规定》，聚焦对不适宜担任现职的领导干部进行组织调整作出系统规范。能否克服“好人主义”，是推进能上能下工作的关键。《条例》新增第八十五条，规定在推进领导干部能上能下工作中，搞好人主义，以党纪政务等处分规避组织调整，以组织调整代替党纪政务等处分，或者有其他避重就轻作出处理行为，情节较重的，给予相应处分。《条例》充实上述惩戒规定，就是要以严明纪律保障推进领导干部能上能下工作要求落到实处，促进形成能者上、优者奖、庸者下、劣者汰的良好局面。</w:t>
      </w:r>
    </w:p>
    <w:p w14:paraId="24D3D42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二是推动增强党员组织观念，促进不断强化党员意识。《条例》着眼引导党员强化组织原则、组织观念，在第九十一条对党员虽经批准因私出国（境）但存在超出批准范围的行为作出处分规定。按照有关规定因私出国（境）需经组织批准的党员，经批准后出现了需要改变路线、期限等超出批准范围的新情况新变化，应及时向组织报告情况。如果未向组织报告而擅自改变行程，就是违反组织纪律的行为，情节较重的应当给予处分。负有报告义务的党员、干部要切实增强组织观念，充分认识这不是纯粹的个人私事，而是涉及对组织批准事项的调整和变更，该报告的必须履行报告义务。同时，《条例》第八十条新增规定，在党组织纪律审查中，依法依规负有作证义务的党员拒绝作证或者故意提供虚假情况，情节较重的，给予相应处分。作为证人的党员，虽不是案件的当事人，但因为知道案件相关情况，在组织向本人了解有关情况时，应当本着对党内同志、党组织和党的事业高度负责的态度，客观如实反映情况，严肃认真履行作证义务，切实维护纪律审查工作的权威性和严肃性。</w:t>
      </w:r>
    </w:p>
    <w:p w14:paraId="00452B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三是推动服务人才强国战略，促进保障人才评价机制落实。习近平总书记指出，实现高水平科技自立自强，归根结底要靠高水平创新人才，强调“加快建立以创新价值、能力、贡献为导向的科技人才评价体系”，“积极营造尊重人才、求贤若渴的社会环境，公正平等、竞争择优的制度环境”。中共中央办公厅、国务院办公厅2018年2月印发的《关于分类推进人才评价机制改革的指导意见》明确，要“从严治理弄虚作假和学术不端行为”。《条例》针对授予学术称号工作中的说情打招呼、搞“圈子评审”、利益交换等突出问题，在第八十六条第一款增写对在授予学术称号中违规谋利、弄虚作假行为的处分规定，促进形成公平公正公开的评选环境，为推动营造识才爱才敬才用才的良好氛围提供纪律保障。</w:t>
      </w:r>
    </w:p>
    <w:p w14:paraId="007A60D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维护组织纪律是增强党的凝聚力和战斗力、领导力和执行力的重要保证。党员、干部要切实增强组织观念、强化组织意识，时刻不忘党员应尽的义务和责任，相信组织、依靠组织、服从组织，自觉接受组织安排和纪律约束。</w:t>
      </w:r>
    </w:p>
    <w:p w14:paraId="24DB415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p>
    <w:p w14:paraId="66B440F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p>
    <w:p w14:paraId="694E1B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right="0"/>
        <w:jc w:val="both"/>
        <w:textAlignment w:val="auto"/>
        <w:rPr>
          <w:rFonts w:hint="eastAsia" w:ascii="仿宋_GB2312" w:hAnsi="仿宋_GB2312" w:eastAsia="仿宋_GB2312" w:cs="仿宋_GB2312"/>
          <w:lang w:val="en-US" w:eastAsia="zh-CN"/>
        </w:rPr>
      </w:pP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9DE55">
    <w:pPr>
      <w:pStyle w:val="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127032532"/>
                            <w:docPartObj>
                              <w:docPartGallery w:val="autotext"/>
                            </w:docPartObj>
                          </w:sdtPr>
                          <w:sdtContent>
                            <w:p w14:paraId="5DA873C0">
                              <w:pPr>
                                <w:pStyle w:val="4"/>
                                <w:jc w:val="center"/>
                              </w:pPr>
                              <w:r>
                                <w:fldChar w:fldCharType="begin"/>
                              </w:r>
                              <w:r>
                                <w:instrText xml:space="preserve">PAGE   \* MERGEFORMAT</w:instrText>
                              </w:r>
                              <w:r>
                                <w:fldChar w:fldCharType="separate"/>
                              </w:r>
                              <w:r>
                                <w:rPr>
                                  <w:lang w:val="zh-CN"/>
                                </w:rPr>
                                <w:t>2</w:t>
                              </w:r>
                              <w:r>
                                <w:fldChar w:fldCharType="end"/>
                              </w:r>
                            </w:p>
                          </w:sdtContent>
                        </w:sdt>
                        <w:p w14:paraId="6D2BC925">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sdt>
                    <w:sdtPr>
                      <w:id w:val="2127032532"/>
                      <w:docPartObj>
                        <w:docPartGallery w:val="autotext"/>
                      </w:docPartObj>
                    </w:sdtPr>
                    <w:sdtContent>
                      <w:p w14:paraId="5DA873C0">
                        <w:pPr>
                          <w:pStyle w:val="4"/>
                          <w:jc w:val="center"/>
                        </w:pPr>
                        <w:r>
                          <w:fldChar w:fldCharType="begin"/>
                        </w:r>
                        <w:r>
                          <w:instrText xml:space="preserve">PAGE   \* MERGEFORMAT</w:instrText>
                        </w:r>
                        <w:r>
                          <w:fldChar w:fldCharType="separate"/>
                        </w:r>
                        <w:r>
                          <w:rPr>
                            <w:lang w:val="zh-CN"/>
                          </w:rPr>
                          <w:t>2</w:t>
                        </w:r>
                        <w:r>
                          <w:fldChar w:fldCharType="end"/>
                        </w:r>
                      </w:p>
                    </w:sdtContent>
                  </w:sdt>
                  <w:p w14:paraId="6D2BC925">
                    <w:pPr>
                      <w:pStyle w:val="2"/>
                    </w:pPr>
                  </w:p>
                </w:txbxContent>
              </v:textbox>
            </v:shape>
          </w:pict>
        </mc:Fallback>
      </mc:AlternateContent>
    </w:r>
  </w:p>
  <w:p w14:paraId="1FE1CB96">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280EC">
    <w:pPr>
      <w:pStyle w:val="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宋体" w:hAnsi="宋体" w:eastAsia="宋体" w:cs="宋体"/>
                            </w:rPr>
                            <w:id w:val="147474652"/>
                            <w:docPartObj>
                              <w:docPartGallery w:val="autotext"/>
                            </w:docPartObj>
                          </w:sdtPr>
                          <w:sdtEndPr>
                            <w:rPr>
                              <w:rFonts w:hint="eastAsia" w:ascii="宋体" w:hAnsi="宋体" w:eastAsia="宋体" w:cs="宋体"/>
                            </w:rPr>
                          </w:sdtEndPr>
                          <w:sdtContent>
                            <w:p w14:paraId="2EC994BF">
                              <w:pPr>
                                <w:pStyle w:val="4"/>
                                <w:jc w:val="cente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PAGE   \* MERGEFORMAT</w:instrText>
                              </w:r>
                              <w:r>
                                <w:rPr>
                                  <w:rFonts w:hint="eastAsia" w:ascii="宋体" w:hAnsi="宋体" w:eastAsia="宋体" w:cs="宋体"/>
                                </w:rPr>
                                <w:fldChar w:fldCharType="separate"/>
                              </w:r>
                              <w:r>
                                <w:rPr>
                                  <w:rFonts w:hint="eastAsia" w:ascii="宋体" w:hAnsi="宋体" w:eastAsia="宋体" w:cs="宋体"/>
                                  <w:lang w:val="zh-CN"/>
                                </w:rPr>
                                <w:t>2</w:t>
                              </w:r>
                              <w:r>
                                <w:rPr>
                                  <w:rFonts w:hint="eastAsia" w:ascii="宋体" w:hAnsi="宋体" w:eastAsia="宋体" w:cs="宋体"/>
                                </w:rPr>
                                <w:fldChar w:fldCharType="end"/>
                              </w:r>
                            </w:p>
                          </w:sdtContent>
                        </w:sdt>
                        <w:p w14:paraId="19EA2605">
                          <w:pPr>
                            <w:pStyle w:val="2"/>
                            <w:rPr>
                              <w:rFonts w:hint="eastAsia" w:ascii="宋体" w:hAnsi="宋体" w:eastAsia="宋体" w:cs="宋体"/>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sdt>
                    <w:sdtPr>
                      <w:rPr>
                        <w:rFonts w:hint="eastAsia" w:ascii="宋体" w:hAnsi="宋体" w:eastAsia="宋体" w:cs="宋体"/>
                      </w:rPr>
                      <w:id w:val="147474652"/>
                      <w:docPartObj>
                        <w:docPartGallery w:val="autotext"/>
                      </w:docPartObj>
                    </w:sdtPr>
                    <w:sdtEndPr>
                      <w:rPr>
                        <w:rFonts w:hint="eastAsia" w:ascii="宋体" w:hAnsi="宋体" w:eastAsia="宋体" w:cs="宋体"/>
                      </w:rPr>
                    </w:sdtEndPr>
                    <w:sdtContent>
                      <w:p w14:paraId="2EC994BF">
                        <w:pPr>
                          <w:pStyle w:val="4"/>
                          <w:jc w:val="cente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PAGE   \* MERGEFORMAT</w:instrText>
                        </w:r>
                        <w:r>
                          <w:rPr>
                            <w:rFonts w:hint="eastAsia" w:ascii="宋体" w:hAnsi="宋体" w:eastAsia="宋体" w:cs="宋体"/>
                          </w:rPr>
                          <w:fldChar w:fldCharType="separate"/>
                        </w:r>
                        <w:r>
                          <w:rPr>
                            <w:rFonts w:hint="eastAsia" w:ascii="宋体" w:hAnsi="宋体" w:eastAsia="宋体" w:cs="宋体"/>
                            <w:lang w:val="zh-CN"/>
                          </w:rPr>
                          <w:t>2</w:t>
                        </w:r>
                        <w:r>
                          <w:rPr>
                            <w:rFonts w:hint="eastAsia" w:ascii="宋体" w:hAnsi="宋体" w:eastAsia="宋体" w:cs="宋体"/>
                          </w:rPr>
                          <w:fldChar w:fldCharType="end"/>
                        </w:r>
                      </w:p>
                    </w:sdtContent>
                  </w:sdt>
                  <w:p w14:paraId="19EA2605">
                    <w:pPr>
                      <w:pStyle w:val="2"/>
                      <w:rPr>
                        <w:rFonts w:hint="eastAsia" w:ascii="宋体" w:hAnsi="宋体" w:eastAsia="宋体" w:cs="宋体"/>
                      </w:rPr>
                    </w:pPr>
                  </w:p>
                </w:txbxContent>
              </v:textbox>
            </v:shape>
          </w:pict>
        </mc:Fallback>
      </mc:AlternateContent>
    </w:r>
  </w:p>
  <w:p w14:paraId="04BF80FE">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wYTU5OGY3ZGI1OGU0NGZjOTYxYWE4ZDJhMjkxZGIifQ=="/>
  </w:docVars>
  <w:rsids>
    <w:rsidRoot w:val="009B3F43"/>
    <w:rsid w:val="001652C4"/>
    <w:rsid w:val="00485EEA"/>
    <w:rsid w:val="005E2439"/>
    <w:rsid w:val="008049D2"/>
    <w:rsid w:val="00967EB7"/>
    <w:rsid w:val="009B3F43"/>
    <w:rsid w:val="009F27BB"/>
    <w:rsid w:val="00A2142D"/>
    <w:rsid w:val="00C12DF3"/>
    <w:rsid w:val="00C14510"/>
    <w:rsid w:val="00D92E08"/>
    <w:rsid w:val="04063A32"/>
    <w:rsid w:val="054511B4"/>
    <w:rsid w:val="0700343B"/>
    <w:rsid w:val="12D0036B"/>
    <w:rsid w:val="1DF14F1B"/>
    <w:rsid w:val="26CB7C63"/>
    <w:rsid w:val="33DA29E0"/>
    <w:rsid w:val="47396CB5"/>
    <w:rsid w:val="4D901794"/>
    <w:rsid w:val="56383AEB"/>
    <w:rsid w:val="6D776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9">
    <w:name w:val="Default Paragraph Font"/>
    <w:autoRedefine/>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semiHidden/>
    <w:unhideWhenUsed/>
    <w:qFormat/>
    <w:uiPriority w:val="99"/>
    <w:pPr>
      <w:spacing w:after="120" w:afterLines="0" w:afterAutospacing="0"/>
    </w:pPr>
  </w:style>
  <w:style w:type="paragraph" w:styleId="4">
    <w:name w:val="footer"/>
    <w:basedOn w:val="1"/>
    <w:link w:val="17"/>
    <w:autoRedefine/>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style>
  <w:style w:type="paragraph" w:styleId="7">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style>
  <w:style w:type="character" w:styleId="12">
    <w:name w:val="Hyperlink"/>
    <w:basedOn w:val="9"/>
    <w:autoRedefine/>
    <w:unhideWhenUsed/>
    <w:qFormat/>
    <w:uiPriority w:val="99"/>
    <w:rPr>
      <w:color w:val="0563C1" w:themeColor="hyperlink"/>
      <w:u w:val="single"/>
      <w14:textFill>
        <w14:solidFill>
          <w14:schemeClr w14:val="hlink"/>
        </w14:solidFill>
      </w14:textFill>
    </w:rPr>
  </w:style>
  <w:style w:type="character" w:styleId="13">
    <w:name w:val="HTML Cite"/>
    <w:basedOn w:val="9"/>
    <w:semiHidden/>
    <w:unhideWhenUsed/>
    <w:qFormat/>
    <w:uiPriority w:val="99"/>
  </w:style>
  <w:style w:type="character" w:customStyle="1" w:styleId="14">
    <w:name w:val="标题 1 字符"/>
    <w:basedOn w:val="9"/>
    <w:link w:val="3"/>
    <w:qFormat/>
    <w:uiPriority w:val="9"/>
    <w:rPr>
      <w:b/>
      <w:bCs/>
      <w:kern w:val="44"/>
      <w:sz w:val="44"/>
      <w:szCs w:val="44"/>
    </w:rPr>
  </w:style>
  <w:style w:type="paragraph" w:customStyle="1" w:styleId="15">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
    <w:name w:val="页眉 字符"/>
    <w:basedOn w:val="9"/>
    <w:link w:val="5"/>
    <w:autoRedefine/>
    <w:qFormat/>
    <w:uiPriority w:val="99"/>
    <w:rPr>
      <w:sz w:val="18"/>
      <w:szCs w:val="18"/>
    </w:rPr>
  </w:style>
  <w:style w:type="character" w:customStyle="1" w:styleId="17">
    <w:name w:val="页脚 字符"/>
    <w:basedOn w:val="9"/>
    <w:link w:val="4"/>
    <w:qFormat/>
    <w:uiPriority w:val="99"/>
    <w:rPr>
      <w:sz w:val="18"/>
      <w:szCs w:val="18"/>
    </w:rPr>
  </w:style>
  <w:style w:type="paragraph" w:customStyle="1" w:styleId="18">
    <w:name w:val="标题1"/>
    <w:basedOn w:val="1"/>
    <w:next w:val="1"/>
    <w:autoRedefine/>
    <w:qFormat/>
    <w:uiPriority w:val="0"/>
    <w:pPr>
      <w:spacing w:before="340" w:after="330" w:line="540" w:lineRule="exact"/>
      <w:jc w:val="center"/>
      <w:outlineLvl w:val="0"/>
    </w:pPr>
    <w:rPr>
      <w:rFonts w:ascii="方正小标宋简体" w:eastAsia="黑体"/>
      <w:b/>
      <w:bCs/>
      <w:sz w:val="28"/>
      <w:szCs w:val="32"/>
    </w:rPr>
  </w:style>
  <w:style w:type="character" w:customStyle="1" w:styleId="19">
    <w:name w:val="bsharetext"/>
    <w:basedOn w:val="9"/>
    <w:autoRedefine/>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64514C-449A-485B-9361-AF481B8E7E5B}">
  <ds:schemaRefs/>
</ds:datastoreItem>
</file>

<file path=docProps/app.xml><?xml version="1.0" encoding="utf-8"?>
<Properties xmlns="http://schemas.openxmlformats.org/officeDocument/2006/extended-properties" xmlns:vt="http://schemas.openxmlformats.org/officeDocument/2006/docPropsVTypes">
  <Template>Normal.dotm</Template>
  <Pages>9</Pages>
  <Words>5929</Words>
  <Characters>5947</Characters>
  <Lines>238</Lines>
  <Paragraphs>67</Paragraphs>
  <TotalTime>3</TotalTime>
  <ScaleCrop>false</ScaleCrop>
  <LinksUpToDate>false</LinksUpToDate>
  <CharactersWithSpaces>5990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2023-04-27T02:09:00Z</dcterms:created>
  <dc:creator>麻 舜治</dc:creator>
  <cp:lastModifiedBy>夏冰</cp:lastModifiedBy>
  <dcterms:modified xsi:type="dcterms:W3CDTF">2025-05-07T03:36:17Z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669C9BA4F3B646F7A5A8362688E8691C_13</vt:lpwstr>
  </property>
  <property fmtid="{D5CDD505-2E9C-101B-9397-08002B2CF9AE}" pid="4" name="KSOTemplateDocerSaveRecord">
    <vt:lpwstr>eyJoZGlkIjoiNzFjN2EwZjM2MmY4OWI2YmMzYWJjZTM1NGUxYjE3ZDIiLCJ1c2VySWQiOiI2NTI5MDUyMTYifQ==</vt:lpwstr>
  </property>
</Properties>
</file>